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F954" w14:textId="77777777" w:rsidR="00DB76A7" w:rsidRDefault="00DB76A7">
      <w:pPr>
        <w:rPr>
          <w:b/>
          <w:bCs/>
          <w:sz w:val="28"/>
          <w:szCs w:val="28"/>
        </w:rPr>
      </w:pPr>
      <w:r>
        <w:rPr>
          <w:b/>
          <w:bCs/>
          <w:noProof/>
          <w:sz w:val="28"/>
          <w:szCs w:val="28"/>
        </w:rPr>
        <w:drawing>
          <wp:inline distT="0" distB="0" distL="0" distR="0" wp14:anchorId="5B783546" wp14:editId="39095F94">
            <wp:extent cx="2857500" cy="600075"/>
            <wp:effectExtent l="0" t="0" r="0" b="9525"/>
            <wp:docPr id="8680441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pic:spPr>
                </pic:pic>
              </a:graphicData>
            </a:graphic>
          </wp:inline>
        </w:drawing>
      </w:r>
      <w:r>
        <w:rPr>
          <w:b/>
          <w:bCs/>
          <w:sz w:val="28"/>
          <w:szCs w:val="28"/>
        </w:rPr>
        <w:t xml:space="preserve"> </w:t>
      </w:r>
    </w:p>
    <w:p w14:paraId="5E78BC17" w14:textId="088E8EB3" w:rsidR="00DB76A7" w:rsidRPr="00394043" w:rsidRDefault="00650914">
      <w:pPr>
        <w:rPr>
          <w:rFonts w:ascii="Titillium Web" w:hAnsi="Titillium Web"/>
          <w:b/>
          <w:bCs/>
        </w:rPr>
      </w:pPr>
      <w:r w:rsidRPr="00394043">
        <w:rPr>
          <w:rFonts w:ascii="Titillium Web" w:hAnsi="Titillium Web"/>
          <w:b/>
          <w:bCs/>
        </w:rPr>
        <w:t>4</w:t>
      </w:r>
      <w:r w:rsidR="00DB76A7" w:rsidRPr="00394043">
        <w:rPr>
          <w:rFonts w:ascii="Titillium Web" w:hAnsi="Titillium Web"/>
          <w:b/>
          <w:bCs/>
        </w:rPr>
        <w:t xml:space="preserve"> maart 202</w:t>
      </w:r>
      <w:r w:rsidRPr="00394043">
        <w:rPr>
          <w:rFonts w:ascii="Titillium Web" w:hAnsi="Titillium Web"/>
          <w:b/>
          <w:bCs/>
        </w:rPr>
        <w:t>6</w:t>
      </w:r>
    </w:p>
    <w:p w14:paraId="1EE7CA2F" w14:textId="77777777" w:rsidR="00650914" w:rsidRPr="00394043" w:rsidRDefault="00650914" w:rsidP="00650914">
      <w:pPr>
        <w:rPr>
          <w:rFonts w:ascii="Titillium Web" w:hAnsi="Titillium Web"/>
          <w:b/>
          <w:bCs/>
        </w:rPr>
      </w:pPr>
      <w:r w:rsidRPr="00394043">
        <w:rPr>
          <w:rFonts w:ascii="Titillium Web" w:hAnsi="Titillium Web"/>
          <w:b/>
          <w:bCs/>
        </w:rPr>
        <w:t xml:space="preserve">SNPI-onderzoek: aantal werkenden met medewerkersaandelen neemt af </w:t>
      </w:r>
    </w:p>
    <w:p w14:paraId="3D4431A2" w14:textId="77777777" w:rsidR="00650914" w:rsidRPr="00394043" w:rsidRDefault="00650914" w:rsidP="00650914">
      <w:pPr>
        <w:rPr>
          <w:rFonts w:ascii="Titillium Web" w:hAnsi="Titillium Web"/>
          <w:b/>
          <w:bCs/>
        </w:rPr>
      </w:pPr>
      <w:r w:rsidRPr="00394043">
        <w:rPr>
          <w:rFonts w:ascii="Titillium Web" w:hAnsi="Titillium Web"/>
          <w:b/>
          <w:bCs/>
        </w:rPr>
        <w:t xml:space="preserve">Het aantal werkenden dat gebruik maakt van medewerkersaandelen, neemt licht af. Slechts 1 op de 22 werknemers maakt gebruik van aandelen. De behoefte aan aandelen neemt onder werkenden wel toe.  </w:t>
      </w:r>
    </w:p>
    <w:p w14:paraId="7C30F568" w14:textId="77777777" w:rsidR="00650914" w:rsidRPr="00394043" w:rsidRDefault="00650914" w:rsidP="00650914">
      <w:pPr>
        <w:rPr>
          <w:rFonts w:ascii="Titillium Web" w:hAnsi="Titillium Web"/>
          <w:b/>
          <w:bCs/>
        </w:rPr>
      </w:pPr>
      <w:r w:rsidRPr="00394043">
        <w:rPr>
          <w:rFonts w:ascii="Titillium Web" w:hAnsi="Titillium Web"/>
          <w:b/>
          <w:bCs/>
        </w:rPr>
        <w:t xml:space="preserve">Dit blijkt uit onderzoek van SNPI, uitgevoerd door Maurice de Hond onder 4300 werkenden. </w:t>
      </w:r>
    </w:p>
    <w:p w14:paraId="7D4383A6" w14:textId="77777777" w:rsidR="00650914" w:rsidRPr="00394043" w:rsidRDefault="00650914" w:rsidP="00650914">
      <w:pPr>
        <w:rPr>
          <w:rFonts w:ascii="Titillium Web" w:hAnsi="Titillium Web"/>
        </w:rPr>
      </w:pPr>
      <w:r w:rsidRPr="00394043">
        <w:rPr>
          <w:rFonts w:ascii="Titillium Web" w:hAnsi="Titillium Web"/>
        </w:rPr>
        <w:t xml:space="preserve">‘Zeer opvallende uitkomsten. Het aantal mensen met aandelen neemt af ten opzichte van vorig jaar. Vorig jaar gaf 1 op de 20 bedrijfsaandelen te bezitten. Maar de groep die aandelen wenst, groeit echter wel: 41% zou graag aandelen willen, vorig jaar was dat 30%,’ stelt Pascale Nieuwland-Jansen, directeur van SNPI. </w:t>
      </w:r>
    </w:p>
    <w:p w14:paraId="221E74A9" w14:textId="77777777" w:rsidR="00650914" w:rsidRPr="00394043" w:rsidRDefault="00650914" w:rsidP="00650914">
      <w:pPr>
        <w:rPr>
          <w:rFonts w:ascii="Titillium Web" w:hAnsi="Titillium Web"/>
        </w:rPr>
      </w:pPr>
      <w:r w:rsidRPr="00394043">
        <w:rPr>
          <w:rFonts w:ascii="Titillium Web" w:hAnsi="Titillium Web"/>
          <w:b/>
          <w:bCs/>
        </w:rPr>
        <w:t xml:space="preserve">Hogere productiviteit </w:t>
      </w:r>
      <w:r w:rsidRPr="00394043">
        <w:rPr>
          <w:rFonts w:ascii="Titillium Web" w:hAnsi="Titillium Web"/>
          <w:b/>
          <w:bCs/>
        </w:rPr>
        <w:br/>
      </w:r>
      <w:r w:rsidRPr="00394043">
        <w:rPr>
          <w:rFonts w:ascii="Titillium Web" w:hAnsi="Titillium Web"/>
        </w:rPr>
        <w:t xml:space="preserve">Van de mensen die wél aandelen bezitten, stelt 75% dat aandelen hen aan het bedrijf verbinden. 52% stelt dat aandelen hun productiviteit vergroot en 41% meldt een hogere inzet. </w:t>
      </w:r>
    </w:p>
    <w:p w14:paraId="056E4CE4" w14:textId="77777777" w:rsidR="00650914" w:rsidRPr="00394043" w:rsidRDefault="00650914" w:rsidP="00650914">
      <w:pPr>
        <w:rPr>
          <w:rFonts w:ascii="Titillium Web" w:hAnsi="Titillium Web"/>
        </w:rPr>
      </w:pPr>
      <w:r w:rsidRPr="00394043">
        <w:rPr>
          <w:rFonts w:ascii="Titillium Web" w:hAnsi="Titillium Web"/>
          <w:b/>
          <w:bCs/>
        </w:rPr>
        <w:t>Geen groei in aandelen</w:t>
      </w:r>
      <w:r w:rsidRPr="00394043">
        <w:rPr>
          <w:rFonts w:ascii="Titillium Web" w:hAnsi="Titillium Web"/>
          <w:b/>
          <w:bCs/>
        </w:rPr>
        <w:br/>
      </w:r>
      <w:r w:rsidRPr="00394043">
        <w:rPr>
          <w:rFonts w:ascii="Titillium Web" w:hAnsi="Titillium Web"/>
        </w:rPr>
        <w:t xml:space="preserve">‘De voordelen van medewerkersaandelen zijn evident en worden inmiddels breed erkend door de sociale partners. Werkgevers en vakbonden hebben dit gezamenlijk vastgelegd in een </w:t>
      </w:r>
      <w:hyperlink r:id="rId5" w:history="1">
        <w:r w:rsidRPr="00394043">
          <w:rPr>
            <w:rStyle w:val="Hyperlink"/>
            <w:rFonts w:ascii="Titillium Web" w:hAnsi="Titillium Web"/>
          </w:rPr>
          <w:t>handreiking</w:t>
        </w:r>
      </w:hyperlink>
      <w:r w:rsidRPr="00394043">
        <w:rPr>
          <w:rFonts w:ascii="Titillium Web" w:hAnsi="Titillium Web"/>
        </w:rPr>
        <w:t xml:space="preserve"> die november 2025 verscheen. Bovendien komt er steeds meer aandacht voor het teruglopende verdienvermogen van Nederland. Je zou door dit alles verwachten dat meer bedrijven aandelen aan hun personeel verstrekken. Maar er zit geen enkele groei in aandelenbezit. Onbegrijpelijk,’ aldus Nieuwland-Jansen. </w:t>
      </w:r>
    </w:p>
    <w:p w14:paraId="738883F7" w14:textId="77777777" w:rsidR="00650914" w:rsidRPr="00394043" w:rsidRDefault="00650914" w:rsidP="00650914">
      <w:pPr>
        <w:rPr>
          <w:rFonts w:ascii="Titillium Web" w:hAnsi="Titillium Web"/>
        </w:rPr>
      </w:pPr>
      <w:r w:rsidRPr="00394043">
        <w:rPr>
          <w:rFonts w:ascii="Titillium Web" w:hAnsi="Titillium Web"/>
          <w:b/>
          <w:bCs/>
        </w:rPr>
        <w:t xml:space="preserve">Inkomenskloof </w:t>
      </w:r>
      <w:r w:rsidRPr="00394043">
        <w:rPr>
          <w:rFonts w:ascii="Titillium Web" w:hAnsi="Titillium Web"/>
          <w:b/>
          <w:bCs/>
        </w:rPr>
        <w:br/>
      </w:r>
      <w:r w:rsidRPr="00394043">
        <w:rPr>
          <w:rFonts w:ascii="Titillium Web" w:hAnsi="Titillium Web"/>
        </w:rPr>
        <w:t xml:space="preserve">Met name onder hogere en middeninkomens zijn aandelen populair. Hoge en middeninkomens hebben vaker (62%) medewerkersaandelen dan lagere inkomens (48%). ‘Terwijl juist mensen met een lager inkomen profiteren van aandelen. Het biedt hen een mooie kans om eigen vermogen op te bouwen. Tijd dat zij ook mee kunnen participeren.’   </w:t>
      </w:r>
    </w:p>
    <w:p w14:paraId="573BA353" w14:textId="77777777" w:rsidR="00650914" w:rsidRPr="00394043" w:rsidRDefault="00650914" w:rsidP="00650914">
      <w:pPr>
        <w:rPr>
          <w:rFonts w:ascii="Titillium Web" w:hAnsi="Titillium Web"/>
        </w:rPr>
      </w:pPr>
      <w:r w:rsidRPr="00394043">
        <w:rPr>
          <w:rFonts w:ascii="Titillium Web" w:hAnsi="Titillium Web"/>
          <w:b/>
          <w:bCs/>
        </w:rPr>
        <w:lastRenderedPageBreak/>
        <w:t xml:space="preserve">Nieuwe kabinet </w:t>
      </w:r>
      <w:r w:rsidRPr="00394043">
        <w:rPr>
          <w:rFonts w:ascii="Titillium Web" w:hAnsi="Titillium Web"/>
          <w:b/>
          <w:bCs/>
        </w:rPr>
        <w:br/>
      </w:r>
      <w:r w:rsidRPr="00394043">
        <w:rPr>
          <w:rFonts w:ascii="Titillium Web" w:hAnsi="Titillium Web"/>
        </w:rPr>
        <w:t xml:space="preserve">Veel werkenden zien een grote rol weggelegd voor het nieuwe kabinet. De helft vindt dat het nieuwe kabinet meer moet doen om medewerkersaandelen fiscaal te vereenvoudigen. Ook is ruim de helft er voorstander van dat medewerkersaandelen voor 2.000 euro per jaar belastingvrij kunnen worden versterkt. </w:t>
      </w:r>
    </w:p>
    <w:p w14:paraId="25F58617" w14:textId="77777777" w:rsidR="00650914" w:rsidRPr="00394043" w:rsidRDefault="00650914" w:rsidP="00650914">
      <w:pPr>
        <w:rPr>
          <w:rFonts w:ascii="Titillium Web" w:hAnsi="Titillium Web"/>
        </w:rPr>
      </w:pPr>
      <w:r w:rsidRPr="00394043">
        <w:rPr>
          <w:rFonts w:ascii="Titillium Web" w:hAnsi="Titillium Web"/>
          <w:b/>
          <w:bCs/>
        </w:rPr>
        <w:t xml:space="preserve">Fiscaal complex </w:t>
      </w:r>
      <w:r w:rsidRPr="00394043">
        <w:rPr>
          <w:rFonts w:ascii="Titillium Web" w:hAnsi="Titillium Web"/>
          <w:b/>
          <w:bCs/>
        </w:rPr>
        <w:br/>
      </w:r>
      <w:r w:rsidRPr="00394043">
        <w:rPr>
          <w:rFonts w:ascii="Titillium Web" w:hAnsi="Titillium Web"/>
        </w:rPr>
        <w:t xml:space="preserve">‘Fiscaal zijn medewerkersaandelen complex voor bedrijven om in te voeren. SNPI pleit, samen met de sociale partners, er al jaren voor dat medewerkersaandelen eenvoudiger kunnen worden verstrekt. Helaas zet de politiek daartoe weinig stappen. In het nieuwe regeerakkoord staat er één zinnetje over medewerkersaandelen, maar dat betreft alleen start-ups en scale-ups. Zeer beperkt. Juist voor MKB en voor grotere bedrijven is zoveel winst te behalen door medewerkers te laten delen. Tijd dat het kabinet serieus aan de slag gaat met medewerkersaandelen,’ stelt Nieuwland-Jansen. </w:t>
      </w:r>
    </w:p>
    <w:p w14:paraId="5725D926" w14:textId="77777777" w:rsidR="00650914" w:rsidRPr="00394043" w:rsidRDefault="00650914" w:rsidP="00650914">
      <w:pPr>
        <w:rPr>
          <w:rFonts w:ascii="Titillium Web" w:hAnsi="Titillium Web"/>
        </w:rPr>
      </w:pPr>
      <w:r w:rsidRPr="00394043">
        <w:rPr>
          <w:rFonts w:ascii="Titillium Web" w:hAnsi="Titillium Web"/>
          <w:b/>
          <w:bCs/>
        </w:rPr>
        <w:t>Over SNPI</w:t>
      </w:r>
      <w:r w:rsidRPr="00394043">
        <w:rPr>
          <w:rFonts w:ascii="Titillium Web" w:hAnsi="Titillium Web"/>
          <w:b/>
          <w:bCs/>
        </w:rPr>
        <w:br/>
      </w:r>
      <w:r w:rsidRPr="00394043">
        <w:rPr>
          <w:rFonts w:ascii="Titillium Web" w:hAnsi="Titillium Web"/>
        </w:rPr>
        <w:t>SNPI is het expertisecentrum voor financiële medewerkersparticipatie in Nederland. SNPI heeft kennis van alle vormen van financiële participatie waarbij medewerkers kunnen participeren. Medewerkers aandeelhouder maken is goed voor bedrijven, goed voor werkenden en goed voor de economie. Daarom helpt SNPI bedrijven in Nederland om medewerkersparticipatie mogelijk te maken.</w:t>
      </w:r>
    </w:p>
    <w:p w14:paraId="38589191" w14:textId="77777777" w:rsidR="00DB76A7" w:rsidRPr="00394043" w:rsidRDefault="00DB76A7" w:rsidP="00DB76A7">
      <w:pPr>
        <w:jc w:val="center"/>
        <w:rPr>
          <w:rFonts w:ascii="Titillium Web" w:hAnsi="Titillium Web"/>
        </w:rPr>
      </w:pPr>
    </w:p>
    <w:p w14:paraId="67C95BED" w14:textId="6A679181" w:rsidR="00DB76A7" w:rsidRPr="00394043" w:rsidRDefault="00DB76A7" w:rsidP="00DB76A7">
      <w:pPr>
        <w:jc w:val="center"/>
        <w:rPr>
          <w:rFonts w:ascii="Titillium Web" w:hAnsi="Titillium Web"/>
        </w:rPr>
      </w:pPr>
      <w:r w:rsidRPr="00394043">
        <w:rPr>
          <w:rFonts w:ascii="Titillium Web" w:hAnsi="Titillium Web"/>
        </w:rPr>
        <w:t>***einde persbericht***</w:t>
      </w:r>
    </w:p>
    <w:p w14:paraId="08CE89A1" w14:textId="5EC4100F" w:rsidR="000A493F" w:rsidRPr="00394043" w:rsidRDefault="000A493F" w:rsidP="000A493F">
      <w:pPr>
        <w:rPr>
          <w:rFonts w:ascii="Titillium Web" w:hAnsi="Titillium Web"/>
        </w:rPr>
      </w:pPr>
    </w:p>
    <w:p w14:paraId="0F425C8E" w14:textId="5EF830E4" w:rsidR="001A4362" w:rsidRPr="00394043" w:rsidRDefault="001A4362">
      <w:pPr>
        <w:rPr>
          <w:rFonts w:ascii="Titillium Web" w:hAnsi="Titillium Web"/>
        </w:rPr>
      </w:pPr>
      <w:r w:rsidRPr="00394043">
        <w:rPr>
          <w:rFonts w:ascii="Titillium Web" w:hAnsi="Titillium Web"/>
        </w:rPr>
        <w:t xml:space="preserve">  </w:t>
      </w:r>
    </w:p>
    <w:p w14:paraId="20ADDB88" w14:textId="1FDD9F31" w:rsidR="001A4362" w:rsidRDefault="001A4362"/>
    <w:sectPr w:rsidR="001A4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panose1 w:val="00000500000000000000"/>
    <w:charset w:val="00"/>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62"/>
    <w:rsid w:val="00011A98"/>
    <w:rsid w:val="000132B5"/>
    <w:rsid w:val="000A493F"/>
    <w:rsid w:val="000C4DA1"/>
    <w:rsid w:val="000D31A5"/>
    <w:rsid w:val="000F1C7F"/>
    <w:rsid w:val="00102831"/>
    <w:rsid w:val="001041A4"/>
    <w:rsid w:val="00121D5B"/>
    <w:rsid w:val="001331C4"/>
    <w:rsid w:val="00190CC3"/>
    <w:rsid w:val="001A4362"/>
    <w:rsid w:val="001B3D0C"/>
    <w:rsid w:val="001C343B"/>
    <w:rsid w:val="001E2FAA"/>
    <w:rsid w:val="001F6EC9"/>
    <w:rsid w:val="002B5F06"/>
    <w:rsid w:val="00363D02"/>
    <w:rsid w:val="00366E0D"/>
    <w:rsid w:val="00381DA0"/>
    <w:rsid w:val="00394043"/>
    <w:rsid w:val="003E11FA"/>
    <w:rsid w:val="003E24A5"/>
    <w:rsid w:val="003F21E9"/>
    <w:rsid w:val="00455A1A"/>
    <w:rsid w:val="00467F40"/>
    <w:rsid w:val="004C50E7"/>
    <w:rsid w:val="004C73C8"/>
    <w:rsid w:val="004E6ED4"/>
    <w:rsid w:val="00500B19"/>
    <w:rsid w:val="00547224"/>
    <w:rsid w:val="00585B2D"/>
    <w:rsid w:val="00593719"/>
    <w:rsid w:val="005C57FB"/>
    <w:rsid w:val="005D20EF"/>
    <w:rsid w:val="005F40EC"/>
    <w:rsid w:val="006245E0"/>
    <w:rsid w:val="00650914"/>
    <w:rsid w:val="00667D82"/>
    <w:rsid w:val="00676746"/>
    <w:rsid w:val="006819BB"/>
    <w:rsid w:val="006B4268"/>
    <w:rsid w:val="00702CDB"/>
    <w:rsid w:val="00740184"/>
    <w:rsid w:val="0078682F"/>
    <w:rsid w:val="00786EE4"/>
    <w:rsid w:val="007A57A7"/>
    <w:rsid w:val="007D2257"/>
    <w:rsid w:val="007D7F0E"/>
    <w:rsid w:val="007E2E65"/>
    <w:rsid w:val="0082333B"/>
    <w:rsid w:val="00842FDD"/>
    <w:rsid w:val="0085723D"/>
    <w:rsid w:val="008B5DE9"/>
    <w:rsid w:val="00953113"/>
    <w:rsid w:val="009A4C48"/>
    <w:rsid w:val="009E5813"/>
    <w:rsid w:val="00A01BF7"/>
    <w:rsid w:val="00A5384D"/>
    <w:rsid w:val="00A667B7"/>
    <w:rsid w:val="00A73398"/>
    <w:rsid w:val="00A84E3C"/>
    <w:rsid w:val="00AA6830"/>
    <w:rsid w:val="00AC52FA"/>
    <w:rsid w:val="00AC61DC"/>
    <w:rsid w:val="00B77313"/>
    <w:rsid w:val="00C96154"/>
    <w:rsid w:val="00CE0537"/>
    <w:rsid w:val="00CE1FF4"/>
    <w:rsid w:val="00D260F7"/>
    <w:rsid w:val="00D31562"/>
    <w:rsid w:val="00D926EC"/>
    <w:rsid w:val="00DA00D8"/>
    <w:rsid w:val="00DB76A7"/>
    <w:rsid w:val="00DD2447"/>
    <w:rsid w:val="00DE5AF1"/>
    <w:rsid w:val="00E220A7"/>
    <w:rsid w:val="00E343F2"/>
    <w:rsid w:val="00E379FF"/>
    <w:rsid w:val="00E60B2E"/>
    <w:rsid w:val="00E63843"/>
    <w:rsid w:val="00EB2119"/>
    <w:rsid w:val="00F117CA"/>
    <w:rsid w:val="00F14B81"/>
    <w:rsid w:val="00F2793F"/>
    <w:rsid w:val="00F30C34"/>
    <w:rsid w:val="00F6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A6AF"/>
  <w15:chartTrackingRefBased/>
  <w15:docId w15:val="{97CF7B83-B622-4504-AD6A-509B870E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3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3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3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3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3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3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3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3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3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3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3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3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3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3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3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362"/>
    <w:rPr>
      <w:rFonts w:eastAsiaTheme="majorEastAsia" w:cstheme="majorBidi"/>
      <w:color w:val="272727" w:themeColor="text1" w:themeTint="D8"/>
    </w:rPr>
  </w:style>
  <w:style w:type="paragraph" w:styleId="Titel">
    <w:name w:val="Title"/>
    <w:basedOn w:val="Standaard"/>
    <w:next w:val="Standaard"/>
    <w:link w:val="TitelChar"/>
    <w:uiPriority w:val="10"/>
    <w:qFormat/>
    <w:rsid w:val="001A4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3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3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3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3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362"/>
    <w:rPr>
      <w:i/>
      <w:iCs/>
      <w:color w:val="404040" w:themeColor="text1" w:themeTint="BF"/>
    </w:rPr>
  </w:style>
  <w:style w:type="paragraph" w:styleId="Lijstalinea">
    <w:name w:val="List Paragraph"/>
    <w:basedOn w:val="Standaard"/>
    <w:uiPriority w:val="34"/>
    <w:qFormat/>
    <w:rsid w:val="001A4362"/>
    <w:pPr>
      <w:ind w:left="720"/>
      <w:contextualSpacing/>
    </w:pPr>
  </w:style>
  <w:style w:type="character" w:styleId="Intensievebenadrukking">
    <w:name w:val="Intense Emphasis"/>
    <w:basedOn w:val="Standaardalinea-lettertype"/>
    <w:uiPriority w:val="21"/>
    <w:qFormat/>
    <w:rsid w:val="001A4362"/>
    <w:rPr>
      <w:i/>
      <w:iCs/>
      <w:color w:val="0F4761" w:themeColor="accent1" w:themeShade="BF"/>
    </w:rPr>
  </w:style>
  <w:style w:type="paragraph" w:styleId="Duidelijkcitaat">
    <w:name w:val="Intense Quote"/>
    <w:basedOn w:val="Standaard"/>
    <w:next w:val="Standaard"/>
    <w:link w:val="DuidelijkcitaatChar"/>
    <w:uiPriority w:val="30"/>
    <w:qFormat/>
    <w:rsid w:val="001A4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362"/>
    <w:rPr>
      <w:i/>
      <w:iCs/>
      <w:color w:val="0F4761" w:themeColor="accent1" w:themeShade="BF"/>
    </w:rPr>
  </w:style>
  <w:style w:type="character" w:styleId="Intensieveverwijzing">
    <w:name w:val="Intense Reference"/>
    <w:basedOn w:val="Standaardalinea-lettertype"/>
    <w:uiPriority w:val="32"/>
    <w:qFormat/>
    <w:rsid w:val="001A4362"/>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331C4"/>
    <w:rPr>
      <w:sz w:val="16"/>
      <w:szCs w:val="16"/>
    </w:rPr>
  </w:style>
  <w:style w:type="paragraph" w:styleId="Tekstopmerking">
    <w:name w:val="annotation text"/>
    <w:basedOn w:val="Standaard"/>
    <w:link w:val="TekstopmerkingChar"/>
    <w:uiPriority w:val="99"/>
    <w:unhideWhenUsed/>
    <w:rsid w:val="001331C4"/>
    <w:pPr>
      <w:spacing w:line="240" w:lineRule="auto"/>
    </w:pPr>
    <w:rPr>
      <w:sz w:val="20"/>
      <w:szCs w:val="20"/>
    </w:rPr>
  </w:style>
  <w:style w:type="character" w:customStyle="1" w:styleId="TekstopmerkingChar">
    <w:name w:val="Tekst opmerking Char"/>
    <w:basedOn w:val="Standaardalinea-lettertype"/>
    <w:link w:val="Tekstopmerking"/>
    <w:uiPriority w:val="99"/>
    <w:rsid w:val="001331C4"/>
    <w:rPr>
      <w:sz w:val="20"/>
      <w:szCs w:val="20"/>
    </w:rPr>
  </w:style>
  <w:style w:type="paragraph" w:styleId="Onderwerpvanopmerking">
    <w:name w:val="annotation subject"/>
    <w:basedOn w:val="Tekstopmerking"/>
    <w:next w:val="Tekstopmerking"/>
    <w:link w:val="OnderwerpvanopmerkingChar"/>
    <w:uiPriority w:val="99"/>
    <w:semiHidden/>
    <w:unhideWhenUsed/>
    <w:rsid w:val="001331C4"/>
    <w:rPr>
      <w:b/>
      <w:bCs/>
    </w:rPr>
  </w:style>
  <w:style w:type="character" w:customStyle="1" w:styleId="OnderwerpvanopmerkingChar">
    <w:name w:val="Onderwerp van opmerking Char"/>
    <w:basedOn w:val="TekstopmerkingChar"/>
    <w:link w:val="Onderwerpvanopmerking"/>
    <w:uiPriority w:val="99"/>
    <w:semiHidden/>
    <w:rsid w:val="001331C4"/>
    <w:rPr>
      <w:b/>
      <w:bCs/>
      <w:sz w:val="20"/>
      <w:szCs w:val="20"/>
    </w:rPr>
  </w:style>
  <w:style w:type="paragraph" w:styleId="Revisie">
    <w:name w:val="Revision"/>
    <w:hidden/>
    <w:uiPriority w:val="99"/>
    <w:semiHidden/>
    <w:rsid w:val="00547224"/>
    <w:pPr>
      <w:spacing w:after="0" w:line="240" w:lineRule="auto"/>
    </w:pPr>
  </w:style>
  <w:style w:type="character" w:styleId="Hyperlink">
    <w:name w:val="Hyperlink"/>
    <w:basedOn w:val="Standaardalinea-lettertype"/>
    <w:uiPriority w:val="99"/>
    <w:unhideWhenUsed/>
    <w:rsid w:val="00650914"/>
    <w:rPr>
      <w:color w:val="467886" w:themeColor="hyperlink"/>
      <w:u w:val="single"/>
    </w:rPr>
  </w:style>
  <w:style w:type="character" w:styleId="Onopgelostemelding">
    <w:name w:val="Unresolved Mention"/>
    <w:basedOn w:val="Standaardalinea-lettertype"/>
    <w:uiPriority w:val="99"/>
    <w:semiHidden/>
    <w:unhideWhenUsed/>
    <w:rsid w:val="0065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2900">
      <w:bodyDiv w:val="1"/>
      <w:marLeft w:val="0"/>
      <w:marRight w:val="0"/>
      <w:marTop w:val="0"/>
      <w:marBottom w:val="0"/>
      <w:divBdr>
        <w:top w:val="none" w:sz="0" w:space="0" w:color="auto"/>
        <w:left w:val="none" w:sz="0" w:space="0" w:color="auto"/>
        <w:bottom w:val="none" w:sz="0" w:space="0" w:color="auto"/>
        <w:right w:val="none" w:sz="0" w:space="0" w:color="auto"/>
      </w:divBdr>
      <w:divsChild>
        <w:div w:id="708845403">
          <w:marLeft w:val="0"/>
          <w:marRight w:val="0"/>
          <w:marTop w:val="0"/>
          <w:marBottom w:val="0"/>
          <w:divBdr>
            <w:top w:val="none" w:sz="0" w:space="0" w:color="auto"/>
            <w:left w:val="none" w:sz="0" w:space="0" w:color="auto"/>
            <w:bottom w:val="none" w:sz="0" w:space="0" w:color="auto"/>
            <w:right w:val="none" w:sz="0" w:space="0" w:color="auto"/>
          </w:divBdr>
        </w:div>
      </w:divsChild>
    </w:div>
    <w:div w:id="20025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vda.nl/nl/publicaties/financiele-werknemersparticipatie"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van Zwieten</dc:creator>
  <cp:keywords/>
  <dc:description/>
  <cp:lastModifiedBy>Linda Heida</cp:lastModifiedBy>
  <cp:revision>3</cp:revision>
  <dcterms:created xsi:type="dcterms:W3CDTF">2026-03-03T15:52:00Z</dcterms:created>
  <dcterms:modified xsi:type="dcterms:W3CDTF">2026-03-03T15:53:00Z</dcterms:modified>
</cp:coreProperties>
</file>